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2DCA5F19"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E20ACF">
        <w:rPr>
          <w:rFonts w:ascii="Arial" w:hAnsi="Arial" w:cs="Arial"/>
          <w:sz w:val="24"/>
          <w:szCs w:val="24"/>
        </w:rPr>
        <w:t>3</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724CE7">
        <w:rPr>
          <w:rFonts w:ascii="Arial" w:hAnsi="Arial" w:cs="Arial"/>
          <w:sz w:val="24"/>
          <w:szCs w:val="24"/>
        </w:rPr>
        <w:t>09837</w:t>
      </w:r>
    </w:p>
    <w:p w14:paraId="1F48B862" w14:textId="6C6209CC"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E20ACF">
        <w:rPr>
          <w:rFonts w:ascii="Arial" w:hAnsi="Arial" w:cs="Arial"/>
          <w:sz w:val="24"/>
          <w:szCs w:val="24"/>
        </w:rPr>
        <w:t>May</w:t>
      </w:r>
      <w:r w:rsidR="00E22344">
        <w:rPr>
          <w:rFonts w:ascii="Arial" w:hAnsi="Arial" w:cs="Arial"/>
          <w:sz w:val="24"/>
          <w:szCs w:val="24"/>
        </w:rPr>
        <w:t>.</w:t>
      </w:r>
      <w:r w:rsidR="006F620E">
        <w:rPr>
          <w:rFonts w:ascii="Arial" w:hAnsi="Arial" w:cs="Arial"/>
          <w:sz w:val="24"/>
          <w:szCs w:val="24"/>
        </w:rPr>
        <w:t>9</w:t>
      </w:r>
      <w:r w:rsidR="006F620E">
        <w:rPr>
          <w:rFonts w:ascii="Arial" w:hAnsi="Arial" w:cs="Arial"/>
          <w:sz w:val="24"/>
          <w:szCs w:val="24"/>
          <w:vertAlign w:val="superscript"/>
        </w:rPr>
        <w:t>th</w:t>
      </w:r>
      <w:r w:rsidR="00454503">
        <w:rPr>
          <w:rFonts w:ascii="Arial" w:hAnsi="Arial" w:cs="Arial"/>
          <w:sz w:val="24"/>
          <w:szCs w:val="24"/>
        </w:rPr>
        <w:t xml:space="preserve"> </w:t>
      </w:r>
      <w:r w:rsidR="00724CE7">
        <w:rPr>
          <w:rFonts w:ascii="Arial" w:hAnsi="Arial" w:cs="Arial"/>
          <w:sz w:val="24"/>
          <w:szCs w:val="24"/>
        </w:rPr>
        <w:t xml:space="preserve">- </w:t>
      </w:r>
      <w:r w:rsidR="006F620E">
        <w:rPr>
          <w:rFonts w:ascii="Arial" w:hAnsi="Arial" w:cs="Arial"/>
          <w:sz w:val="24"/>
          <w:szCs w:val="24"/>
        </w:rPr>
        <w:t>20</w:t>
      </w:r>
      <w:r w:rsidR="006F620E">
        <w:rPr>
          <w:rFonts w:ascii="Arial" w:hAnsi="Arial" w:cs="Arial"/>
          <w:sz w:val="24"/>
          <w:szCs w:val="24"/>
          <w:vertAlign w:val="superscript"/>
        </w:rPr>
        <w:t>th</w:t>
      </w:r>
      <w:r w:rsidR="00E22344">
        <w:rPr>
          <w:rFonts w:ascii="Arial" w:hAnsi="Arial" w:cs="Arial"/>
          <w:sz w:val="24"/>
          <w:szCs w:val="24"/>
        </w:rPr>
        <w:t>,</w:t>
      </w:r>
      <w:r w:rsidR="00724CE7">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4BD40860"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57371E" w:rsidRPr="0057371E">
        <w:rPr>
          <w:rFonts w:ascii="Arial" w:hAnsi="Arial" w:cs="Arial"/>
          <w:sz w:val="24"/>
          <w:lang w:val="en-US"/>
        </w:rPr>
        <w:t>Discussion on</w:t>
      </w:r>
      <w:r w:rsidR="00D42BD2">
        <w:rPr>
          <w:rFonts w:ascii="Arial" w:hAnsi="Arial" w:cs="Arial"/>
          <w:sz w:val="24"/>
          <w:lang w:val="en-US"/>
        </w:rPr>
        <w:t xml:space="preserve"> </w:t>
      </w:r>
      <w:r w:rsidR="008633BB">
        <w:rPr>
          <w:rFonts w:ascii="Arial" w:hAnsi="Arial" w:cs="Arial"/>
          <w:sz w:val="24"/>
          <w:lang w:val="en-US"/>
        </w:rPr>
        <w:t>UE</w:t>
      </w:r>
      <w:r w:rsidR="00324444">
        <w:rPr>
          <w:rFonts w:ascii="Arial" w:hAnsi="Arial" w:cs="Arial"/>
          <w:sz w:val="24"/>
          <w:lang w:val="en-US"/>
        </w:rPr>
        <w:t xml:space="preserve"> requirements for Rel-17 NB-IOT  </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32E5147C" w:rsidR="0037119B" w:rsidRPr="00724CE7" w:rsidRDefault="0037119B" w:rsidP="0037119B">
      <w:pPr>
        <w:tabs>
          <w:tab w:val="left" w:pos="1985"/>
        </w:tabs>
        <w:rPr>
          <w:rStyle w:val="af8"/>
          <w:rFonts w:ascii="Arial" w:hAnsi="Arial" w:cs="Arial"/>
          <w:lang w:val="fr-FR"/>
        </w:rPr>
      </w:pPr>
      <w:r w:rsidRPr="00752DF1">
        <w:rPr>
          <w:rFonts w:ascii="Arial" w:hAnsi="Arial" w:cs="Arial"/>
          <w:b/>
          <w:sz w:val="24"/>
          <w:lang w:val="pt-BR"/>
        </w:rPr>
        <w:t>Agenda item:</w:t>
      </w:r>
      <w:r w:rsidR="00601F77">
        <w:rPr>
          <w:rFonts w:ascii="Arial" w:hAnsi="Arial" w:cs="Arial"/>
          <w:b/>
          <w:sz w:val="24"/>
          <w:lang w:val="pt-BR"/>
        </w:rPr>
        <w:t xml:space="preserve">   </w:t>
      </w:r>
      <w:r w:rsidR="00324444">
        <w:rPr>
          <w:rFonts w:ascii="Arial" w:hAnsi="Arial" w:cs="Arial"/>
          <w:b/>
          <w:sz w:val="24"/>
          <w:lang w:val="pt-BR"/>
        </w:rPr>
        <w:t xml:space="preserve">    </w:t>
      </w:r>
      <w:r w:rsidR="00724CE7" w:rsidRPr="00724CE7">
        <w:rPr>
          <w:rStyle w:val="af8"/>
          <w:rFonts w:ascii="Arial" w:hAnsi="Arial"/>
          <w:lang w:val="fr-FR"/>
        </w:rPr>
        <w:t>10.8.6.2.1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6D344D38" w:rsidR="00C452C0" w:rsidRDefault="00693412" w:rsidP="00E022EF">
      <w:pPr>
        <w:spacing w:after="0"/>
        <w:rPr>
          <w:rFonts w:eastAsiaTheme="minorEastAsia"/>
          <w:lang w:eastAsia="zh-CN"/>
        </w:rPr>
      </w:pPr>
      <w:r>
        <w:rPr>
          <w:rFonts w:eastAsiaTheme="minorEastAsia"/>
          <w:lang w:eastAsia="zh-CN"/>
        </w:rPr>
        <w:t>As per [1],</w:t>
      </w:r>
      <w:r w:rsidR="006F620E">
        <w:rPr>
          <w:rFonts w:eastAsiaTheme="minorEastAsia"/>
          <w:lang w:eastAsia="zh-CN"/>
        </w:rPr>
        <w:t xml:space="preserve"> RAN 4 has agreed to introduce NPDSCH demodulation requirements for both FDD and TDD. The only left open issue is TBS and number of scheduled subframes. In this paper, we provide our analysis on this issue.</w:t>
      </w:r>
    </w:p>
    <w:p w14:paraId="00C0DA95" w14:textId="77777777" w:rsidR="006F620E" w:rsidRDefault="006F620E" w:rsidP="00E022EF">
      <w:pPr>
        <w:spacing w:after="0"/>
        <w:rPr>
          <w:rFonts w:eastAsiaTheme="minorEastAsia"/>
          <w:lang w:eastAsia="zh-CN"/>
        </w:rPr>
      </w:pPr>
    </w:p>
    <w:tbl>
      <w:tblPr>
        <w:tblStyle w:val="af4"/>
        <w:tblW w:w="0" w:type="auto"/>
        <w:tblLook w:val="04A0" w:firstRow="1" w:lastRow="0" w:firstColumn="1" w:lastColumn="0" w:noHBand="0" w:noVBand="1"/>
      </w:tblPr>
      <w:tblGrid>
        <w:gridCol w:w="10457"/>
      </w:tblGrid>
      <w:tr w:rsidR="006F620E" w14:paraId="111A23A6" w14:textId="77777777" w:rsidTr="006F620E">
        <w:tc>
          <w:tcPr>
            <w:tcW w:w="10457" w:type="dxa"/>
          </w:tcPr>
          <w:p w14:paraId="526B9AB0" w14:textId="77777777" w:rsidR="006F620E" w:rsidRDefault="006F620E" w:rsidP="006F620E">
            <w:pPr>
              <w:spacing w:after="120"/>
              <w:rPr>
                <w:szCs w:val="24"/>
                <w:u w:val="single"/>
                <w:lang w:eastAsia="zh-CN"/>
              </w:rPr>
            </w:pPr>
            <w:r>
              <w:rPr>
                <w:b/>
                <w:u w:val="single"/>
                <w:lang w:eastAsia="ko-KR"/>
              </w:rPr>
              <w:t>TBS:</w:t>
            </w:r>
          </w:p>
          <w:p w14:paraId="051A35BF" w14:textId="77777777" w:rsidR="006F620E" w:rsidRDefault="006F620E" w:rsidP="006F620E">
            <w:pPr>
              <w:spacing w:after="120"/>
              <w:rPr>
                <w:szCs w:val="24"/>
                <w:lang w:eastAsia="zh-CN"/>
              </w:rPr>
            </w:pPr>
            <w:r>
              <w:rPr>
                <w:szCs w:val="24"/>
                <w:lang w:eastAsia="zh-CN"/>
              </w:rPr>
              <w:t>Option 1: Use (I</w:t>
            </w:r>
            <w:r>
              <w:rPr>
                <w:szCs w:val="24"/>
                <w:vertAlign w:val="subscript"/>
                <w:lang w:eastAsia="zh-CN"/>
              </w:rPr>
              <w:t>TBS</w:t>
            </w:r>
            <w:r>
              <w:rPr>
                <w:szCs w:val="24"/>
                <w:lang w:eastAsia="zh-CN"/>
              </w:rPr>
              <w:t>, I</w:t>
            </w:r>
            <w:r>
              <w:rPr>
                <w:szCs w:val="24"/>
                <w:vertAlign w:val="subscript"/>
                <w:lang w:eastAsia="zh-CN"/>
              </w:rPr>
              <w:t>SF</w:t>
            </w:r>
            <w:r>
              <w:rPr>
                <w:szCs w:val="24"/>
                <w:lang w:eastAsia="zh-CN"/>
              </w:rPr>
              <w:t>) = (16, 5) which corresponds to TBS = 1928bits and effective code rate 0.51</w:t>
            </w:r>
          </w:p>
          <w:p w14:paraId="22437632" w14:textId="2048AD12" w:rsidR="006F620E" w:rsidRPr="00724CE7" w:rsidRDefault="006F620E" w:rsidP="00724CE7">
            <w:pPr>
              <w:spacing w:after="120"/>
              <w:rPr>
                <w:rFonts w:eastAsiaTheme="minorEastAsia" w:hint="eastAsia"/>
                <w:szCs w:val="24"/>
                <w:lang w:eastAsia="zh-CN"/>
              </w:rPr>
            </w:pPr>
            <w:r>
              <w:rPr>
                <w:szCs w:val="24"/>
                <w:lang w:eastAsia="zh-CN"/>
              </w:rPr>
              <w:t>Option 2: Use (I</w:t>
            </w:r>
            <w:r>
              <w:rPr>
                <w:szCs w:val="24"/>
                <w:vertAlign w:val="subscript"/>
                <w:lang w:eastAsia="zh-CN"/>
              </w:rPr>
              <w:t>TBS</w:t>
            </w:r>
            <w:r>
              <w:rPr>
                <w:szCs w:val="24"/>
                <w:lang w:eastAsia="zh-CN"/>
              </w:rPr>
              <w:t>, I</w:t>
            </w:r>
            <w:r>
              <w:rPr>
                <w:szCs w:val="24"/>
                <w:vertAlign w:val="subscript"/>
                <w:lang w:eastAsia="zh-CN"/>
              </w:rPr>
              <w:t>SF</w:t>
            </w:r>
            <w:r>
              <w:rPr>
                <w:szCs w:val="24"/>
                <w:lang w:eastAsia="zh-CN"/>
              </w:rPr>
              <w:t>) = (21, 7) which corresponds to TBS = 4968bits and effective code rate 0.78</w:t>
            </w:r>
            <w:bookmarkStart w:id="5" w:name="_GoBack"/>
            <w:bookmarkEnd w:id="5"/>
          </w:p>
        </w:tc>
      </w:tr>
    </w:tbl>
    <w:p w14:paraId="0A834413" w14:textId="77777777" w:rsidR="006F620E" w:rsidRPr="006A1B31" w:rsidRDefault="006F620E" w:rsidP="00E022EF">
      <w:pPr>
        <w:spacing w:after="0"/>
        <w:rPr>
          <w:rFonts w:eastAsiaTheme="minorEastAsia"/>
          <w:lang w:eastAsia="zh-CN"/>
        </w:rPr>
      </w:pPr>
    </w:p>
    <w:p w14:paraId="53BE7550" w14:textId="2FE25160" w:rsidR="002C5645" w:rsidRDefault="00324444" w:rsidP="003D0C47">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Discussions</w:t>
      </w:r>
    </w:p>
    <w:p w14:paraId="32B0CD2D" w14:textId="483F013D" w:rsidR="008633BB" w:rsidRDefault="006F620E" w:rsidP="009B072A">
      <w:pPr>
        <w:spacing w:beforeLines="100" w:before="240"/>
        <w:rPr>
          <w:rFonts w:eastAsiaTheme="minorEastAsia"/>
          <w:lang w:eastAsia="zh-CN"/>
        </w:rPr>
      </w:pPr>
      <w:r>
        <w:rPr>
          <w:rFonts w:eastAsiaTheme="minorEastAsia"/>
          <w:lang w:eastAsia="zh-CN"/>
        </w:rPr>
        <w:t>A</w:t>
      </w:r>
      <w:r w:rsidR="009B072A">
        <w:rPr>
          <w:rFonts w:eastAsiaTheme="minorEastAsia"/>
          <w:lang w:eastAsia="zh-CN"/>
        </w:rPr>
        <w:t xml:space="preserve">ccording to WI [2], the main requirement for Rel-17 NPDSCH is to increase the </w:t>
      </w:r>
      <w:r w:rsidR="00697CFF">
        <w:rPr>
          <w:rFonts w:eastAsiaTheme="minorEastAsia"/>
          <w:lang w:eastAsia="zh-CN"/>
        </w:rPr>
        <w:t>date rate</w:t>
      </w:r>
      <w:r w:rsidR="009B072A">
        <w:rPr>
          <w:rFonts w:eastAsiaTheme="minorEastAsia"/>
          <w:lang w:eastAsia="zh-CN"/>
        </w:rPr>
        <w:t>. We copy the corresponding agreement from [2] as follows:</w:t>
      </w:r>
    </w:p>
    <w:tbl>
      <w:tblPr>
        <w:tblStyle w:val="af4"/>
        <w:tblW w:w="0" w:type="auto"/>
        <w:tblLook w:val="04A0" w:firstRow="1" w:lastRow="0" w:firstColumn="1" w:lastColumn="0" w:noHBand="0" w:noVBand="1"/>
      </w:tblPr>
      <w:tblGrid>
        <w:gridCol w:w="10457"/>
      </w:tblGrid>
      <w:tr w:rsidR="009B072A" w14:paraId="7C5CA878" w14:textId="77777777" w:rsidTr="009B072A">
        <w:tc>
          <w:tcPr>
            <w:tcW w:w="10457" w:type="dxa"/>
          </w:tcPr>
          <w:p w14:paraId="425CC775" w14:textId="15E00F39" w:rsidR="009B072A" w:rsidRPr="00697CFF" w:rsidRDefault="00697CFF" w:rsidP="00697CFF">
            <w:pPr>
              <w:widowControl w:val="0"/>
              <w:numPr>
                <w:ilvl w:val="0"/>
                <w:numId w:val="24"/>
              </w:numPr>
              <w:spacing w:after="0" w:line="360" w:lineRule="auto"/>
              <w:contextualSpacing/>
              <w:jc w:val="both"/>
              <w:rPr>
                <w:rFonts w:eastAsia="等线"/>
              </w:rPr>
            </w:pPr>
            <w:r w:rsidRPr="00697CFF">
              <w:rPr>
                <w:rFonts w:eastAsia="等线"/>
              </w:rPr>
              <w:t>S</w:t>
            </w:r>
            <w:r w:rsidRPr="000B6C1B">
              <w:rPr>
                <w:rFonts w:eastAsia="等线"/>
              </w:rPr>
              <w:t xml:space="preserve">pecify 16-QAM for unicast in UL and DL, including necessary changes to DL power allocation for NPDSCH and DL TBS. This is to be specified without a new NB-IoT UE category. </w:t>
            </w:r>
            <w:r w:rsidRPr="00697CFF">
              <w:rPr>
                <w:rFonts w:eastAsia="等线"/>
                <w:highlight w:val="yellow"/>
              </w:rPr>
              <w:t xml:space="preserve">For DL, </w:t>
            </w:r>
            <w:r w:rsidRPr="00697CFF">
              <w:rPr>
                <w:highlight w:val="yellow"/>
              </w:rPr>
              <w:t>increase in maximum TBS of e.g. 2x the Rel-16 maximum, and soft buffer size will be specified by modifying at least existing Category NB2.</w:t>
            </w:r>
            <w:r w:rsidRPr="000B6C1B">
              <w:t xml:space="preserve"> For UL, the maximum TBS is not increased.</w:t>
            </w:r>
            <w:r w:rsidRPr="000B6C1B">
              <w:rPr>
                <w:rFonts w:eastAsia="等线"/>
              </w:rPr>
              <w:t xml:space="preserve"> [NB-IoT] [RAN1, RAN4]</w:t>
            </w:r>
          </w:p>
        </w:tc>
      </w:tr>
    </w:tbl>
    <w:p w14:paraId="7B54C68B" w14:textId="6281A5D0" w:rsidR="007D64EC" w:rsidRDefault="00697CFF" w:rsidP="009B072A">
      <w:pPr>
        <w:spacing w:beforeLines="100" w:before="240"/>
        <w:rPr>
          <w:rFonts w:eastAsiaTheme="minorEastAsia"/>
          <w:lang w:eastAsia="zh-CN"/>
        </w:rPr>
      </w:pPr>
      <w:r>
        <w:rPr>
          <w:rFonts w:eastAsiaTheme="minorEastAsia" w:hint="eastAsia"/>
          <w:lang w:eastAsia="zh-CN"/>
        </w:rPr>
        <w:t>H</w:t>
      </w:r>
      <w:r>
        <w:rPr>
          <w:rFonts w:eastAsiaTheme="minorEastAsia"/>
          <w:lang w:eastAsia="zh-CN"/>
        </w:rPr>
        <w:t>ence, we think it is necessary to verify whether UE support the new max TBS</w:t>
      </w:r>
      <w:r w:rsidR="006F620E">
        <w:rPr>
          <w:rFonts w:eastAsiaTheme="minorEastAsia"/>
          <w:lang w:eastAsia="zh-CN"/>
        </w:rPr>
        <w:t xml:space="preserve">. </w:t>
      </w:r>
      <w:r w:rsidR="007D64EC">
        <w:rPr>
          <w:rFonts w:eastAsiaTheme="minorEastAsia"/>
          <w:lang w:eastAsia="zh-CN"/>
        </w:rPr>
        <w:t xml:space="preserve">By using option </w:t>
      </w:r>
      <w:r w:rsidR="006F620E">
        <w:rPr>
          <w:rFonts w:eastAsiaTheme="minorEastAsia"/>
          <w:lang w:eastAsia="zh-CN"/>
        </w:rPr>
        <w:t xml:space="preserve">2 </w:t>
      </w:r>
      <w:r w:rsidR="007D64EC">
        <w:rPr>
          <w:rFonts w:eastAsiaTheme="minorEastAsia"/>
          <w:lang w:eastAsia="zh-CN"/>
        </w:rPr>
        <w:t>with (</w:t>
      </w:r>
      <w:r w:rsidR="007D64EC" w:rsidRPr="00697CFF">
        <w:rPr>
          <w:rFonts w:eastAsia="MS Mincho"/>
        </w:rPr>
        <w:t>I</w:t>
      </w:r>
      <w:r w:rsidR="007D64EC" w:rsidRPr="00697CFF">
        <w:rPr>
          <w:rFonts w:eastAsia="MS Mincho"/>
          <w:vertAlign w:val="subscript"/>
        </w:rPr>
        <w:t>TBS</w:t>
      </w:r>
      <w:r w:rsidR="007D64EC" w:rsidRPr="00697CFF">
        <w:rPr>
          <w:rFonts w:eastAsia="MS Mincho"/>
        </w:rPr>
        <w:t>, I</w:t>
      </w:r>
      <w:r w:rsidR="007D64EC" w:rsidRPr="00697CFF">
        <w:rPr>
          <w:rFonts w:eastAsia="MS Mincho"/>
          <w:vertAlign w:val="subscript"/>
        </w:rPr>
        <w:t>SF</w:t>
      </w:r>
      <w:r w:rsidR="007D64EC">
        <w:rPr>
          <w:rFonts w:eastAsiaTheme="minorEastAsia"/>
          <w:lang w:eastAsia="zh-CN"/>
        </w:rPr>
        <w:t>)=(21,7), the code rate is 0.78,  we provide the corresponding simulation results in figure 1:</w:t>
      </w:r>
    </w:p>
    <w:p w14:paraId="68E52CFE" w14:textId="0D042AB1" w:rsidR="0090634E" w:rsidRDefault="0090634E" w:rsidP="0090634E">
      <w:pPr>
        <w:spacing w:beforeLines="100" w:before="240"/>
        <w:jc w:val="center"/>
        <w:rPr>
          <w:rFonts w:eastAsiaTheme="minorEastAsia"/>
          <w:lang w:eastAsia="zh-CN"/>
        </w:rPr>
      </w:pPr>
      <w:r>
        <w:rPr>
          <w:noProof/>
          <w:lang w:val="en-US" w:eastAsia="zh-CN"/>
        </w:rPr>
        <w:drawing>
          <wp:inline distT="0" distB="0" distL="0" distR="0" wp14:anchorId="73E682AB" wp14:editId="71D691AB">
            <wp:extent cx="2573215" cy="20992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83419" cy="2107526"/>
                    </a:xfrm>
                    <a:prstGeom prst="rect">
                      <a:avLst/>
                    </a:prstGeom>
                  </pic:spPr>
                </pic:pic>
              </a:graphicData>
            </a:graphic>
          </wp:inline>
        </w:drawing>
      </w:r>
    </w:p>
    <w:p w14:paraId="4F9F4DFF" w14:textId="066204C3" w:rsidR="0090634E" w:rsidRPr="0090634E" w:rsidRDefault="0090634E" w:rsidP="0090634E">
      <w:pPr>
        <w:spacing w:beforeLines="100" w:before="240"/>
        <w:jc w:val="center"/>
        <w:rPr>
          <w:rFonts w:eastAsiaTheme="minorEastAsia"/>
          <w:b/>
          <w:lang w:eastAsia="zh-CN"/>
        </w:rPr>
      </w:pPr>
      <w:r w:rsidRPr="0090634E">
        <w:rPr>
          <w:rFonts w:eastAsiaTheme="minorEastAsia" w:hint="eastAsia"/>
          <w:b/>
          <w:lang w:eastAsia="zh-CN"/>
        </w:rPr>
        <w:t>F</w:t>
      </w:r>
      <w:r w:rsidRPr="0090634E">
        <w:rPr>
          <w:rFonts w:eastAsiaTheme="minorEastAsia"/>
          <w:b/>
          <w:lang w:eastAsia="zh-CN"/>
        </w:rPr>
        <w:t>igure 1: Simulation results for 16 QAM with max TBS and max number of scheduled subframes</w:t>
      </w:r>
    </w:p>
    <w:p w14:paraId="52F7323E" w14:textId="33C9629C" w:rsidR="007D64EC" w:rsidRDefault="007D64EC" w:rsidP="009B072A">
      <w:pPr>
        <w:spacing w:beforeLines="100" w:before="240"/>
        <w:rPr>
          <w:rFonts w:eastAsiaTheme="minorEastAsia"/>
          <w:lang w:eastAsia="zh-CN"/>
        </w:rPr>
      </w:pPr>
      <w:r>
        <w:rPr>
          <w:rFonts w:eastAsiaTheme="minorEastAsia" w:hint="eastAsia"/>
          <w:lang w:eastAsia="zh-CN"/>
        </w:rPr>
        <w:t>B</w:t>
      </w:r>
      <w:r>
        <w:rPr>
          <w:rFonts w:eastAsiaTheme="minorEastAsia"/>
          <w:lang w:eastAsia="zh-CN"/>
        </w:rPr>
        <w:t xml:space="preserve">y the simulation results, we can find that the SNR @ 70% of maximum TB is </w:t>
      </w:r>
      <w:r w:rsidR="0090634E">
        <w:rPr>
          <w:rFonts w:eastAsiaTheme="minorEastAsia"/>
          <w:lang w:eastAsia="zh-CN"/>
        </w:rPr>
        <w:t>17.3dB</w:t>
      </w:r>
      <w:r>
        <w:rPr>
          <w:rFonts w:eastAsiaTheme="minorEastAsia"/>
          <w:lang w:eastAsia="zh-CN"/>
        </w:rPr>
        <w:t>, therefore, we think it is feasible to define the NPDSCH requirements with max TBS and number of scheduled subframes.</w:t>
      </w:r>
    </w:p>
    <w:p w14:paraId="19BDAE2B" w14:textId="1CE222EA" w:rsidR="006F620E" w:rsidRPr="006F620E" w:rsidRDefault="006F620E" w:rsidP="009B072A">
      <w:pPr>
        <w:spacing w:beforeLines="100" w:before="240"/>
        <w:rPr>
          <w:b/>
          <w:szCs w:val="24"/>
          <w:lang w:eastAsia="zh-CN"/>
        </w:rPr>
      </w:pPr>
      <w:r w:rsidRPr="006F620E">
        <w:rPr>
          <w:b/>
          <w:szCs w:val="24"/>
          <w:lang w:eastAsia="zh-CN"/>
        </w:rPr>
        <w:lastRenderedPageBreak/>
        <w:t>Observation 1: The target SNR is about 17.3dB when (ITBS, ISF) equals to (21, 7) which corresponds to TBS = 4968bits and effective code rate 0.78</w:t>
      </w:r>
    </w:p>
    <w:p w14:paraId="7041354F" w14:textId="094F1B36" w:rsidR="007D64EC" w:rsidRPr="006F620E" w:rsidRDefault="007D64EC" w:rsidP="006F620E">
      <w:pPr>
        <w:spacing w:after="120"/>
        <w:rPr>
          <w:b/>
          <w:szCs w:val="24"/>
          <w:lang w:eastAsia="zh-CN"/>
        </w:rPr>
      </w:pPr>
      <w:r w:rsidRPr="007D64EC">
        <w:rPr>
          <w:b/>
          <w:szCs w:val="24"/>
          <w:lang w:eastAsia="zh-CN"/>
        </w:rPr>
        <w:t xml:space="preserve">Proposal 1: </w:t>
      </w:r>
      <w:r w:rsidR="006F620E" w:rsidRPr="006F620E">
        <w:rPr>
          <w:b/>
          <w:szCs w:val="24"/>
          <w:lang w:eastAsia="zh-CN"/>
        </w:rPr>
        <w:t>Use (ITBS, ISF) = (21, 7) which corresponds to TBS = 4968bits and effective code rate 0.78</w:t>
      </w:r>
      <w:r w:rsidR="006F620E" w:rsidRPr="006F620E">
        <w:rPr>
          <w:rFonts w:hint="eastAsia"/>
          <w:b/>
          <w:szCs w:val="24"/>
          <w:lang w:eastAsia="zh-CN"/>
        </w:rPr>
        <w:t xml:space="preserve"> </w:t>
      </w:r>
      <w:r w:rsidR="006F620E" w:rsidRPr="006F620E">
        <w:rPr>
          <w:b/>
          <w:szCs w:val="24"/>
          <w:lang w:eastAsia="zh-CN"/>
        </w:rPr>
        <w:t>for NPDSCH 16 QAM requirements definition</w:t>
      </w:r>
    </w:p>
    <w:bookmarkEnd w:id="6"/>
    <w:bookmarkEnd w:id="7"/>
    <w:bookmarkEnd w:id="8"/>
    <w:bookmarkEnd w:id="9"/>
    <w:bookmarkEnd w:id="10"/>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62D3A799" w14:textId="7670DC5E" w:rsidR="006F620E" w:rsidRDefault="004B0E99" w:rsidP="00422DE6">
      <w:pPr>
        <w:spacing w:after="0"/>
        <w:rPr>
          <w:rFonts w:eastAsiaTheme="minorEastAsia"/>
          <w:lang w:eastAsia="zh-CN"/>
        </w:rPr>
      </w:pPr>
      <w:r>
        <w:rPr>
          <w:rFonts w:eastAsiaTheme="minorEastAsia" w:hint="eastAsia"/>
          <w:lang w:eastAsia="zh-CN"/>
        </w:rPr>
        <w:t>I</w:t>
      </w:r>
      <w:r>
        <w:rPr>
          <w:rFonts w:eastAsiaTheme="minorEastAsia"/>
          <w:lang w:eastAsia="zh-CN"/>
        </w:rPr>
        <w:t>n this paper, we provide</w:t>
      </w:r>
      <w:r w:rsidR="00422DE6">
        <w:rPr>
          <w:rFonts w:eastAsiaTheme="minorEastAsia"/>
          <w:lang w:eastAsia="zh-CN"/>
        </w:rPr>
        <w:t xml:space="preserve"> our initial simulation results and our views on </w:t>
      </w:r>
      <w:r w:rsidR="001F1834">
        <w:rPr>
          <w:rFonts w:eastAsiaTheme="minorEastAsia"/>
          <w:lang w:eastAsia="zh-CN"/>
        </w:rPr>
        <w:t>remain open issues of NPUSCH requirements. The observations and proposals are:</w:t>
      </w:r>
    </w:p>
    <w:p w14:paraId="3465E212" w14:textId="77777777" w:rsidR="006F620E" w:rsidRPr="006F620E" w:rsidRDefault="006F620E" w:rsidP="006F620E">
      <w:pPr>
        <w:spacing w:beforeLines="100" w:before="240"/>
        <w:rPr>
          <w:b/>
          <w:szCs w:val="24"/>
          <w:lang w:eastAsia="zh-CN"/>
        </w:rPr>
      </w:pPr>
      <w:r w:rsidRPr="006F620E">
        <w:rPr>
          <w:b/>
          <w:szCs w:val="24"/>
          <w:lang w:eastAsia="zh-CN"/>
        </w:rPr>
        <w:t>Observation 1: The target SNR is about 17.3dB when (ITBS, ISF) equals to (21, 7) which corresponds to TBS = 4968bits and effective code rate 0.78</w:t>
      </w:r>
    </w:p>
    <w:p w14:paraId="0C1A474C" w14:textId="364B00F7" w:rsidR="0062005D" w:rsidRPr="006F620E" w:rsidRDefault="006F620E" w:rsidP="006F620E">
      <w:pPr>
        <w:spacing w:after="120"/>
        <w:rPr>
          <w:rFonts w:eastAsiaTheme="minorEastAsia"/>
          <w:b/>
          <w:szCs w:val="24"/>
          <w:lang w:eastAsia="zh-CN"/>
        </w:rPr>
      </w:pPr>
      <w:r w:rsidRPr="007D64EC">
        <w:rPr>
          <w:b/>
          <w:szCs w:val="24"/>
          <w:lang w:eastAsia="zh-CN"/>
        </w:rPr>
        <w:t xml:space="preserve">Proposal 1: </w:t>
      </w:r>
      <w:r w:rsidRPr="006F620E">
        <w:rPr>
          <w:b/>
          <w:szCs w:val="24"/>
          <w:lang w:eastAsia="zh-CN"/>
        </w:rPr>
        <w:t>Use (ITBS, ISF) = (21, 7) which corresponds to TBS = 4968bits and effective code rate 0.78</w:t>
      </w:r>
      <w:r w:rsidRPr="006F620E">
        <w:rPr>
          <w:rFonts w:hint="eastAsia"/>
          <w:b/>
          <w:szCs w:val="24"/>
          <w:lang w:eastAsia="zh-CN"/>
        </w:rPr>
        <w:t xml:space="preserve"> </w:t>
      </w:r>
      <w:r w:rsidRPr="006F620E">
        <w:rPr>
          <w:b/>
          <w:szCs w:val="24"/>
          <w:lang w:eastAsia="zh-CN"/>
        </w:rPr>
        <w:t>for NPDSCH 16 QAM requirements definition</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04367EF4" w14:textId="62C2FDC7" w:rsidR="0085317B" w:rsidRPr="0085317B" w:rsidRDefault="0085317B" w:rsidP="0085317B">
      <w:pPr>
        <w:rPr>
          <w:rFonts w:eastAsiaTheme="minorEastAsia"/>
          <w:lang w:eastAsia="zh-CN"/>
        </w:rPr>
      </w:pPr>
      <w:r>
        <w:rPr>
          <w:rFonts w:eastAsiaTheme="minorEastAsia" w:hint="eastAsia"/>
          <w:lang w:eastAsia="zh-CN"/>
        </w:rPr>
        <w:t>[</w:t>
      </w:r>
      <w:r>
        <w:rPr>
          <w:rFonts w:eastAsiaTheme="minorEastAsia"/>
          <w:lang w:eastAsia="zh-CN"/>
        </w:rPr>
        <w:t xml:space="preserve">1] </w:t>
      </w:r>
      <w:r w:rsidR="00324444">
        <w:rPr>
          <w:rFonts w:eastAsiaTheme="minorEastAsia"/>
          <w:lang w:eastAsia="zh-CN"/>
        </w:rPr>
        <w:t xml:space="preserve">  R4-220</w:t>
      </w:r>
      <w:r w:rsidR="006F620E">
        <w:rPr>
          <w:rFonts w:eastAsiaTheme="minorEastAsia"/>
          <w:lang w:eastAsia="zh-CN"/>
        </w:rPr>
        <w:t>7200 WF for perf requirements for Rel-17 NB-IOT and eMTC _final. Huawei, HiSilicon</w:t>
      </w:r>
    </w:p>
    <w:p w14:paraId="7169D5A8" w14:textId="40CD5D9F" w:rsidR="0085317B" w:rsidRPr="0085317B" w:rsidRDefault="0085317B" w:rsidP="0085317B">
      <w:pPr>
        <w:overflowPunct w:val="0"/>
        <w:rPr>
          <w:rFonts w:eastAsiaTheme="minorEastAsia"/>
          <w:kern w:val="2"/>
          <w:sz w:val="21"/>
          <w:lang w:val="en-US" w:eastAsia="zh-CN"/>
        </w:rPr>
      </w:pPr>
    </w:p>
    <w:sectPr w:rsidR="0085317B" w:rsidRPr="0085317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2854D" w14:textId="77777777" w:rsidR="00277842" w:rsidRDefault="00277842">
      <w:r>
        <w:separator/>
      </w:r>
    </w:p>
  </w:endnote>
  <w:endnote w:type="continuationSeparator" w:id="0">
    <w:p w14:paraId="1BDD2F5A" w14:textId="77777777" w:rsidR="00277842" w:rsidRDefault="0027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8F688" w14:textId="77777777" w:rsidR="00277842" w:rsidRDefault="00277842">
      <w:r>
        <w:separator/>
      </w:r>
    </w:p>
  </w:footnote>
  <w:footnote w:type="continuationSeparator" w:id="0">
    <w:p w14:paraId="2BF5CB25" w14:textId="77777777" w:rsidR="00277842" w:rsidRDefault="002778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977"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A656EF"/>
    <w:multiLevelType w:val="hybridMultilevel"/>
    <w:tmpl w:val="B64AD5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B240E3"/>
    <w:multiLevelType w:val="hybridMultilevel"/>
    <w:tmpl w:val="049AE280"/>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FF09B4"/>
    <w:multiLevelType w:val="hybridMultilevel"/>
    <w:tmpl w:val="EC285422"/>
    <w:lvl w:ilvl="0" w:tplc="44EA3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916CE4"/>
    <w:multiLevelType w:val="hybridMultilevel"/>
    <w:tmpl w:val="5EC07B36"/>
    <w:lvl w:ilvl="0" w:tplc="4606DD9A">
      <w:start w:val="4"/>
      <w:numFmt w:val="bullet"/>
      <w:lvlText w:val="-"/>
      <w:lvlJc w:val="left"/>
      <w:pPr>
        <w:ind w:left="1004" w:hanging="360"/>
      </w:pPr>
      <w:rPr>
        <w:rFonts w:ascii="Arial" w:eastAsia="Times New Roman" w:hAnsi="Arial" w:cs="Arial" w:hint="default"/>
      </w:rPr>
    </w:lvl>
    <w:lvl w:ilvl="1" w:tplc="4606DD9A">
      <w:start w:val="4"/>
      <w:numFmt w:val="bullet"/>
      <w:lvlText w:val="-"/>
      <w:lvlJc w:val="left"/>
      <w:pPr>
        <w:ind w:left="1724" w:hanging="360"/>
      </w:pPr>
      <w:rPr>
        <w:rFonts w:ascii="Arial" w:eastAsia="Times New Roman" w:hAnsi="Arial" w:cs="Arial"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56A5362D"/>
    <w:multiLevelType w:val="hybridMultilevel"/>
    <w:tmpl w:val="1C74014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8B73482"/>
    <w:multiLevelType w:val="hybridMultilevel"/>
    <w:tmpl w:val="F39C4E26"/>
    <w:lvl w:ilvl="0" w:tplc="08090001">
      <w:start w:val="1"/>
      <w:numFmt w:val="bullet"/>
      <w:lvlText w:val=""/>
      <w:lvlJc w:val="left"/>
      <w:pPr>
        <w:ind w:left="644" w:hanging="360"/>
      </w:pPr>
      <w:rPr>
        <w:rFonts w:ascii="Symbol" w:hAnsi="Symbo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8"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9"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3"/>
  </w:num>
  <w:num w:numId="4">
    <w:abstractNumId w:val="25"/>
  </w:num>
  <w:num w:numId="5">
    <w:abstractNumId w:val="17"/>
  </w:num>
  <w:num w:numId="6">
    <w:abstractNumId w:val="0"/>
  </w:num>
  <w:num w:numId="7">
    <w:abstractNumId w:val="5"/>
  </w:num>
  <w:num w:numId="8">
    <w:abstractNumId w:val="12"/>
  </w:num>
  <w:num w:numId="9">
    <w:abstractNumId w:val="13"/>
  </w:num>
  <w:num w:numId="10">
    <w:abstractNumId w:val="21"/>
  </w:num>
  <w:num w:numId="11">
    <w:abstractNumId w:val="24"/>
  </w:num>
  <w:num w:numId="12">
    <w:abstractNumId w:val="8"/>
  </w:num>
  <w:num w:numId="13">
    <w:abstractNumId w:val="10"/>
  </w:num>
  <w:num w:numId="14">
    <w:abstractNumId w:val="18"/>
  </w:num>
  <w:num w:numId="15">
    <w:abstractNumId w:val="19"/>
  </w:num>
  <w:num w:numId="16">
    <w:abstractNumId w:val="1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2"/>
  </w:num>
  <w:num w:numId="20">
    <w:abstractNumId w:val="20"/>
  </w:num>
  <w:num w:numId="21">
    <w:abstractNumId w:val="16"/>
  </w:num>
  <w:num w:numId="22">
    <w:abstractNumId w:val="9"/>
  </w:num>
  <w:num w:numId="23">
    <w:abstractNumId w:val="1"/>
  </w:num>
  <w:num w:numId="24">
    <w:abstractNumId w:val="6"/>
  </w:num>
  <w:num w:numId="25">
    <w:abstractNumId w:val="3"/>
  </w:num>
  <w:num w:numId="26">
    <w:abstractNumId w:val="15"/>
  </w:num>
  <w:num w:numId="27">
    <w:abstractNumId w:val="4"/>
  </w:num>
  <w:num w:numId="28">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0740"/>
    <w:rsid w:val="000110CA"/>
    <w:rsid w:val="000118F6"/>
    <w:rsid w:val="00011F10"/>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1834"/>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3EF"/>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345E"/>
    <w:rsid w:val="00257195"/>
    <w:rsid w:val="002578D8"/>
    <w:rsid w:val="0026106B"/>
    <w:rsid w:val="002613A5"/>
    <w:rsid w:val="00261C32"/>
    <w:rsid w:val="00262322"/>
    <w:rsid w:val="0026471D"/>
    <w:rsid w:val="00267881"/>
    <w:rsid w:val="00270300"/>
    <w:rsid w:val="00270354"/>
    <w:rsid w:val="002723F2"/>
    <w:rsid w:val="00272F6E"/>
    <w:rsid w:val="00273821"/>
    <w:rsid w:val="00273FC1"/>
    <w:rsid w:val="00274E67"/>
    <w:rsid w:val="0027531B"/>
    <w:rsid w:val="00275D12"/>
    <w:rsid w:val="00276CD2"/>
    <w:rsid w:val="00277842"/>
    <w:rsid w:val="00277A1E"/>
    <w:rsid w:val="0028062F"/>
    <w:rsid w:val="002808AD"/>
    <w:rsid w:val="00280FEC"/>
    <w:rsid w:val="0028119B"/>
    <w:rsid w:val="00281EB0"/>
    <w:rsid w:val="00282888"/>
    <w:rsid w:val="002829AE"/>
    <w:rsid w:val="00283896"/>
    <w:rsid w:val="0028456D"/>
    <w:rsid w:val="00284F05"/>
    <w:rsid w:val="00285749"/>
    <w:rsid w:val="00285AE4"/>
    <w:rsid w:val="0028675B"/>
    <w:rsid w:val="002875C7"/>
    <w:rsid w:val="00287ABF"/>
    <w:rsid w:val="002908C5"/>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787B"/>
    <w:rsid w:val="002A3934"/>
    <w:rsid w:val="002A3C50"/>
    <w:rsid w:val="002A622D"/>
    <w:rsid w:val="002A65D4"/>
    <w:rsid w:val="002A6F28"/>
    <w:rsid w:val="002A6FBE"/>
    <w:rsid w:val="002B1650"/>
    <w:rsid w:val="002B17CC"/>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3B6"/>
    <w:rsid w:val="002C6507"/>
    <w:rsid w:val="002C6BF4"/>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53C"/>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444"/>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AAE"/>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2C6"/>
    <w:rsid w:val="00367757"/>
    <w:rsid w:val="0037004C"/>
    <w:rsid w:val="0037023A"/>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53B"/>
    <w:rsid w:val="003A6985"/>
    <w:rsid w:val="003A6D6C"/>
    <w:rsid w:val="003B019E"/>
    <w:rsid w:val="003B3117"/>
    <w:rsid w:val="003B5800"/>
    <w:rsid w:val="003B735C"/>
    <w:rsid w:val="003B7C7F"/>
    <w:rsid w:val="003C070F"/>
    <w:rsid w:val="003C1312"/>
    <w:rsid w:val="003C3310"/>
    <w:rsid w:val="003C40CB"/>
    <w:rsid w:val="003C45D2"/>
    <w:rsid w:val="003C4C53"/>
    <w:rsid w:val="003C6D51"/>
    <w:rsid w:val="003C7216"/>
    <w:rsid w:val="003C77F4"/>
    <w:rsid w:val="003D0C47"/>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549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DE6"/>
    <w:rsid w:val="00422E8A"/>
    <w:rsid w:val="00423E08"/>
    <w:rsid w:val="0042735E"/>
    <w:rsid w:val="00433E63"/>
    <w:rsid w:val="00434BE2"/>
    <w:rsid w:val="00435C19"/>
    <w:rsid w:val="00435C42"/>
    <w:rsid w:val="00436F1B"/>
    <w:rsid w:val="00437000"/>
    <w:rsid w:val="00437A99"/>
    <w:rsid w:val="00440974"/>
    <w:rsid w:val="00442AF1"/>
    <w:rsid w:val="00442D22"/>
    <w:rsid w:val="00444277"/>
    <w:rsid w:val="00444983"/>
    <w:rsid w:val="00444E0B"/>
    <w:rsid w:val="00444F8C"/>
    <w:rsid w:val="004453C9"/>
    <w:rsid w:val="00445A1C"/>
    <w:rsid w:val="00445DE0"/>
    <w:rsid w:val="0044674B"/>
    <w:rsid w:val="00446771"/>
    <w:rsid w:val="00450506"/>
    <w:rsid w:val="0045070B"/>
    <w:rsid w:val="00453767"/>
    <w:rsid w:val="00453897"/>
    <w:rsid w:val="00454503"/>
    <w:rsid w:val="004546DF"/>
    <w:rsid w:val="00454729"/>
    <w:rsid w:val="00454B84"/>
    <w:rsid w:val="004555BE"/>
    <w:rsid w:val="00455F90"/>
    <w:rsid w:val="00456287"/>
    <w:rsid w:val="004567A8"/>
    <w:rsid w:val="00456EF9"/>
    <w:rsid w:val="00456FB2"/>
    <w:rsid w:val="0046072B"/>
    <w:rsid w:val="004607BA"/>
    <w:rsid w:val="00460DFE"/>
    <w:rsid w:val="004638A5"/>
    <w:rsid w:val="00463D4C"/>
    <w:rsid w:val="004667D7"/>
    <w:rsid w:val="00466B68"/>
    <w:rsid w:val="00466CFA"/>
    <w:rsid w:val="00467069"/>
    <w:rsid w:val="004678D4"/>
    <w:rsid w:val="00470535"/>
    <w:rsid w:val="0047133D"/>
    <w:rsid w:val="0047197D"/>
    <w:rsid w:val="00471BD6"/>
    <w:rsid w:val="00471C06"/>
    <w:rsid w:val="00472291"/>
    <w:rsid w:val="00472352"/>
    <w:rsid w:val="00473363"/>
    <w:rsid w:val="004736A7"/>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0E99"/>
    <w:rsid w:val="004B194C"/>
    <w:rsid w:val="004B2F34"/>
    <w:rsid w:val="004B3D21"/>
    <w:rsid w:val="004B4C38"/>
    <w:rsid w:val="004B5426"/>
    <w:rsid w:val="004B5622"/>
    <w:rsid w:val="004B73E3"/>
    <w:rsid w:val="004B740B"/>
    <w:rsid w:val="004B7AD9"/>
    <w:rsid w:val="004C0A59"/>
    <w:rsid w:val="004C13B5"/>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158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D61AA"/>
    <w:rsid w:val="005E0079"/>
    <w:rsid w:val="005E066C"/>
    <w:rsid w:val="005E2409"/>
    <w:rsid w:val="005E2C44"/>
    <w:rsid w:val="005E300B"/>
    <w:rsid w:val="005E3280"/>
    <w:rsid w:val="005E4C97"/>
    <w:rsid w:val="005E5A4E"/>
    <w:rsid w:val="005E64D8"/>
    <w:rsid w:val="005E79EB"/>
    <w:rsid w:val="005F0E08"/>
    <w:rsid w:val="005F1896"/>
    <w:rsid w:val="005F1E5C"/>
    <w:rsid w:val="005F3A43"/>
    <w:rsid w:val="005F48CD"/>
    <w:rsid w:val="005F6954"/>
    <w:rsid w:val="00600BB7"/>
    <w:rsid w:val="00600E5D"/>
    <w:rsid w:val="006012B9"/>
    <w:rsid w:val="00601F77"/>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05D"/>
    <w:rsid w:val="00620B0F"/>
    <w:rsid w:val="00621D26"/>
    <w:rsid w:val="00622936"/>
    <w:rsid w:val="00623663"/>
    <w:rsid w:val="00623FA7"/>
    <w:rsid w:val="00624297"/>
    <w:rsid w:val="00625407"/>
    <w:rsid w:val="00625940"/>
    <w:rsid w:val="00625CEF"/>
    <w:rsid w:val="00626EBD"/>
    <w:rsid w:val="0062772E"/>
    <w:rsid w:val="00627890"/>
    <w:rsid w:val="00627D95"/>
    <w:rsid w:val="00630165"/>
    <w:rsid w:val="006302A6"/>
    <w:rsid w:val="00630D2E"/>
    <w:rsid w:val="00631181"/>
    <w:rsid w:val="0063381B"/>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1F8"/>
    <w:rsid w:val="0068422A"/>
    <w:rsid w:val="006853A9"/>
    <w:rsid w:val="00685676"/>
    <w:rsid w:val="00685CB5"/>
    <w:rsid w:val="0068764D"/>
    <w:rsid w:val="006906C2"/>
    <w:rsid w:val="00690D77"/>
    <w:rsid w:val="00691881"/>
    <w:rsid w:val="00693412"/>
    <w:rsid w:val="00693A52"/>
    <w:rsid w:val="00694F02"/>
    <w:rsid w:val="00696285"/>
    <w:rsid w:val="00697CFF"/>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F1D76"/>
    <w:rsid w:val="006F4221"/>
    <w:rsid w:val="006F495F"/>
    <w:rsid w:val="006F4DAF"/>
    <w:rsid w:val="006F6011"/>
    <w:rsid w:val="006F620E"/>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4CE7"/>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4EC"/>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3D25"/>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25BE"/>
    <w:rsid w:val="0085317B"/>
    <w:rsid w:val="008537FC"/>
    <w:rsid w:val="008550EB"/>
    <w:rsid w:val="00855B68"/>
    <w:rsid w:val="00856163"/>
    <w:rsid w:val="0085631C"/>
    <w:rsid w:val="0085641C"/>
    <w:rsid w:val="0085649A"/>
    <w:rsid w:val="00856BD4"/>
    <w:rsid w:val="00860552"/>
    <w:rsid w:val="008633BB"/>
    <w:rsid w:val="008643E9"/>
    <w:rsid w:val="008651D0"/>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7352"/>
    <w:rsid w:val="008C7645"/>
    <w:rsid w:val="008C7D0D"/>
    <w:rsid w:val="008D0305"/>
    <w:rsid w:val="008D031C"/>
    <w:rsid w:val="008D0901"/>
    <w:rsid w:val="008D1335"/>
    <w:rsid w:val="008D1503"/>
    <w:rsid w:val="008D1CC6"/>
    <w:rsid w:val="008D2C81"/>
    <w:rsid w:val="008D3CC7"/>
    <w:rsid w:val="008D54BC"/>
    <w:rsid w:val="008D54D3"/>
    <w:rsid w:val="008D5FF6"/>
    <w:rsid w:val="008D62F9"/>
    <w:rsid w:val="008D665E"/>
    <w:rsid w:val="008D6B8C"/>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634E"/>
    <w:rsid w:val="00906590"/>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2BC"/>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072A"/>
    <w:rsid w:val="009B2BFE"/>
    <w:rsid w:val="009B3419"/>
    <w:rsid w:val="009B350B"/>
    <w:rsid w:val="009B3C37"/>
    <w:rsid w:val="009B3D69"/>
    <w:rsid w:val="009B4C97"/>
    <w:rsid w:val="009B5128"/>
    <w:rsid w:val="009B65E5"/>
    <w:rsid w:val="009B6990"/>
    <w:rsid w:val="009B6C8E"/>
    <w:rsid w:val="009B6FA1"/>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6213"/>
    <w:rsid w:val="009D63F9"/>
    <w:rsid w:val="009D69DE"/>
    <w:rsid w:val="009D7893"/>
    <w:rsid w:val="009E0D45"/>
    <w:rsid w:val="009E15D3"/>
    <w:rsid w:val="009E1690"/>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6AB"/>
    <w:rsid w:val="00A33D68"/>
    <w:rsid w:val="00A34027"/>
    <w:rsid w:val="00A34915"/>
    <w:rsid w:val="00A3555A"/>
    <w:rsid w:val="00A35CD1"/>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6BA5"/>
    <w:rsid w:val="00A47E70"/>
    <w:rsid w:val="00A507A1"/>
    <w:rsid w:val="00A53691"/>
    <w:rsid w:val="00A55128"/>
    <w:rsid w:val="00A55835"/>
    <w:rsid w:val="00A570EF"/>
    <w:rsid w:val="00A609D9"/>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2774"/>
    <w:rsid w:val="00AF3473"/>
    <w:rsid w:val="00AF45CD"/>
    <w:rsid w:val="00AF4A07"/>
    <w:rsid w:val="00AF4E18"/>
    <w:rsid w:val="00AF7515"/>
    <w:rsid w:val="00B00341"/>
    <w:rsid w:val="00B010E3"/>
    <w:rsid w:val="00B02DCF"/>
    <w:rsid w:val="00B02E8D"/>
    <w:rsid w:val="00B039EC"/>
    <w:rsid w:val="00B03C9D"/>
    <w:rsid w:val="00B048F4"/>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309"/>
    <w:rsid w:val="00B557B2"/>
    <w:rsid w:val="00B55E48"/>
    <w:rsid w:val="00B6023C"/>
    <w:rsid w:val="00B614F8"/>
    <w:rsid w:val="00B619BE"/>
    <w:rsid w:val="00B61FEB"/>
    <w:rsid w:val="00B625C5"/>
    <w:rsid w:val="00B63583"/>
    <w:rsid w:val="00B636A6"/>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96C"/>
    <w:rsid w:val="00B85F49"/>
    <w:rsid w:val="00B85FE6"/>
    <w:rsid w:val="00B8620B"/>
    <w:rsid w:val="00B86576"/>
    <w:rsid w:val="00B87873"/>
    <w:rsid w:val="00B90FD9"/>
    <w:rsid w:val="00B93208"/>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D7EC2"/>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EC7"/>
    <w:rsid w:val="00C53AB0"/>
    <w:rsid w:val="00C5442E"/>
    <w:rsid w:val="00C54BEB"/>
    <w:rsid w:val="00C5571D"/>
    <w:rsid w:val="00C55D04"/>
    <w:rsid w:val="00C56631"/>
    <w:rsid w:val="00C601AE"/>
    <w:rsid w:val="00C604D9"/>
    <w:rsid w:val="00C613E6"/>
    <w:rsid w:val="00C61C41"/>
    <w:rsid w:val="00C6290F"/>
    <w:rsid w:val="00C62F0A"/>
    <w:rsid w:val="00C63735"/>
    <w:rsid w:val="00C63C1A"/>
    <w:rsid w:val="00C64816"/>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7256"/>
    <w:rsid w:val="00CA7E34"/>
    <w:rsid w:val="00CB11E0"/>
    <w:rsid w:val="00CB17F7"/>
    <w:rsid w:val="00CB33D7"/>
    <w:rsid w:val="00CB3714"/>
    <w:rsid w:val="00CB4789"/>
    <w:rsid w:val="00CB4D2D"/>
    <w:rsid w:val="00CB4DE2"/>
    <w:rsid w:val="00CC004A"/>
    <w:rsid w:val="00CC0640"/>
    <w:rsid w:val="00CC093E"/>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0DCB"/>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00F"/>
    <w:rsid w:val="00D413F6"/>
    <w:rsid w:val="00D41622"/>
    <w:rsid w:val="00D4243A"/>
    <w:rsid w:val="00D42BD2"/>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32E6"/>
    <w:rsid w:val="00DA32F7"/>
    <w:rsid w:val="00DA5655"/>
    <w:rsid w:val="00DA6E41"/>
    <w:rsid w:val="00DA7113"/>
    <w:rsid w:val="00DA7B9F"/>
    <w:rsid w:val="00DB227D"/>
    <w:rsid w:val="00DB23F0"/>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5B07"/>
    <w:rsid w:val="00DC6190"/>
    <w:rsid w:val="00DC67AC"/>
    <w:rsid w:val="00DC6D5F"/>
    <w:rsid w:val="00DC7146"/>
    <w:rsid w:val="00DC7503"/>
    <w:rsid w:val="00DC7576"/>
    <w:rsid w:val="00DC7B6E"/>
    <w:rsid w:val="00DD0B00"/>
    <w:rsid w:val="00DD350D"/>
    <w:rsid w:val="00DD379B"/>
    <w:rsid w:val="00DD3B19"/>
    <w:rsid w:val="00DD3CBF"/>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5B4C"/>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0ACF"/>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0F0B"/>
    <w:rsid w:val="00EA152F"/>
    <w:rsid w:val="00EA1F8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42EA"/>
    <w:rsid w:val="00ED58D4"/>
    <w:rsid w:val="00ED5D30"/>
    <w:rsid w:val="00ED5D53"/>
    <w:rsid w:val="00ED5F6D"/>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8A4"/>
    <w:rsid w:val="00F00AA8"/>
    <w:rsid w:val="00F00AE8"/>
    <w:rsid w:val="00F024E6"/>
    <w:rsid w:val="00F0378D"/>
    <w:rsid w:val="00F03B6D"/>
    <w:rsid w:val="00F04AE3"/>
    <w:rsid w:val="00F06982"/>
    <w:rsid w:val="00F076F4"/>
    <w:rsid w:val="00F10B16"/>
    <w:rsid w:val="00F1279F"/>
    <w:rsid w:val="00F12CA1"/>
    <w:rsid w:val="00F12DAD"/>
    <w:rsid w:val="00F136F7"/>
    <w:rsid w:val="00F1450A"/>
    <w:rsid w:val="00F15201"/>
    <w:rsid w:val="00F15345"/>
    <w:rsid w:val="00F15486"/>
    <w:rsid w:val="00F207D5"/>
    <w:rsid w:val="00F20A47"/>
    <w:rsid w:val="00F20CD3"/>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86F5C"/>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B8"/>
    <w:rsid w:val="00FB2853"/>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22"/>
    <w:rsid w:val="00FD2EF1"/>
    <w:rsid w:val="00FD41F9"/>
    <w:rsid w:val="00FD46A2"/>
    <w:rsid w:val="00FD739F"/>
    <w:rsid w:val="00FE174A"/>
    <w:rsid w:val="00FE197B"/>
    <w:rsid w:val="00FE1F77"/>
    <w:rsid w:val="00FE3397"/>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828"/>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ind w:left="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12542247">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206FD-BF9F-4501-AB7C-0969A8A96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2983</TotalTime>
  <Pages>2</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12</cp:revision>
  <cp:lastPrinted>2009-04-22T01:01:00Z</cp:lastPrinted>
  <dcterms:created xsi:type="dcterms:W3CDTF">2022-01-25T08:30:00Z</dcterms:created>
  <dcterms:modified xsi:type="dcterms:W3CDTF">2022-04-25T22:18:00Z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(3)FMqdbAlIZdmEMivGjEwj0VWP9ZJY+u2pXHUY8L4VjKqH67S5VMWy3B2GlLqeIP+m6JtX5Dlp
mIKvt5FVgNhDky57gmZwi3O5gp2FWIKpf+S+z3TiL66TGv1Q2sVWQa6vpx08GtXNJpWhl/2D
CIb/MxpQdkSgRDj8qC4IKdk4UjAybSPQik6MVdnRi9MWtHF6d6X51KIoBvn45KJh+6bLdhVa
2tgB4kSuBider7g2A+</vt:lpwstr>
  </property>
  <property fmtid="{D5CDD505-2E9C-101B-9397-08002B2CF9AE}" pid="17" name="_2015_ms_pID_725343_00">
    <vt:lpwstr>_2015_ms_pID_725343</vt:lpwstr>
  </property>
  <property fmtid="{D5CDD505-2E9C-101B-9397-08002B2CF9AE}" pid="18" name="_2015_ms_pID_7253431">
    <vt:lpwstr>z5yKnHbSoRxCB8utAbRXUhtvTKWPm4UHTeYKZw+ZBRXrLWsfHTvjr4
ybJo3n0uzZBp2glKpSlIp+GHnpGZWhQWzqV11JPkf7W1uSMk8MKLV+NxLjisR5RZYaOXTX+1
6erc0CQ1mNGtZiku2O/PMTKRq+ZCw7Htl7TgCBgggJ0Dor0k40ibSkVHZ+ENMl1epi9ixjvm
8twbupYWN2BUiSzbLuqFOL4HMYR04hwnyeuX</vt:lpwstr>
  </property>
  <property fmtid="{D5CDD505-2E9C-101B-9397-08002B2CF9AE}" pid="19" name="_2015_ms_pID_7253431_00">
    <vt:lpwstr>_2015_ms_pID_7253431</vt:lpwstr>
  </property>
  <property fmtid="{D5CDD505-2E9C-101B-9397-08002B2CF9AE}" pid="20" name="_2015_ms_pID_7253432">
    <vt:lpwstr>oF8MUqJqC6gIRCYS5c4PFD/FTQOxX4+vgsug
s8Qi3dYNykECiN8iRBz+Br7pC072DN0TylW34Um40BjU8sNxXnE=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1650922111</vt:lpwstr>
  </property>
</Properties>
</file>